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48" w:rsidRDefault="00746B0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E67348" w:rsidRDefault="00746B02">
      <w:pPr>
        <w:spacing w:before="100" w:beforeAutospacing="1" w:after="100" w:afterAutospacing="1"/>
        <w:jc w:val="center"/>
        <w:rPr>
          <w:rFonts w:ascii="方正小标宋简体" w:eastAsia="方正小标宋简体"/>
          <w:b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b/>
          <w:sz w:val="30"/>
          <w:szCs w:val="30"/>
        </w:rPr>
        <w:t>典型案例编写提纲</w:t>
      </w:r>
      <w:bookmarkEnd w:id="0"/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一、案例名称</w:t>
      </w:r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二、案例概况</w:t>
      </w:r>
    </w:p>
    <w:p w:rsidR="00E67348" w:rsidRDefault="00746B0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描述案例背景，说明项目的社会资本方、处理或服务对象、处理或服务能力，建设、调试、正常运行时间和服务周期等，概述项目验收、监测、检测报告情况，介绍</w:t>
      </w:r>
      <w:r w:rsidR="000C6CA8">
        <w:rPr>
          <w:rFonts w:ascii="仿宋_GB2312" w:eastAsia="仿宋_GB2312" w:hint="eastAsia"/>
          <w:sz w:val="30"/>
          <w:szCs w:val="30"/>
        </w:rPr>
        <w:t>项目取得的成效。应包含污染物稳定达标排放、遵纪守法且无重大事故申</w:t>
      </w:r>
      <w:r>
        <w:rPr>
          <w:rFonts w:ascii="仿宋_GB2312" w:eastAsia="仿宋_GB2312" w:hint="eastAsia"/>
          <w:sz w:val="30"/>
          <w:szCs w:val="30"/>
        </w:rPr>
        <w:t>明等（评价指标1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2）</w:t>
      </w:r>
      <w:r w:rsidR="00C76D36">
        <w:rPr>
          <w:rFonts w:ascii="仿宋_GB2312" w:eastAsia="仿宋_GB2312" w:hint="eastAsia"/>
          <w:sz w:val="30"/>
          <w:szCs w:val="30"/>
        </w:rPr>
        <w:t>。不少于</w:t>
      </w:r>
      <w:r w:rsidR="00C76D36">
        <w:rPr>
          <w:rFonts w:ascii="仿宋_GB2312" w:eastAsia="仿宋_GB2312"/>
          <w:sz w:val="30"/>
          <w:szCs w:val="30"/>
        </w:rPr>
        <w:t>6</w:t>
      </w:r>
      <w:r w:rsidR="00C76D36">
        <w:rPr>
          <w:rFonts w:ascii="仿宋_GB2312" w:eastAsia="仿宋_GB2312" w:hint="eastAsia"/>
          <w:sz w:val="30"/>
          <w:szCs w:val="30"/>
        </w:rPr>
        <w:t>00字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>
        <w:rPr>
          <w:rFonts w:ascii="仿宋_GB2312" w:eastAsia="仿宋_GB2312"/>
          <w:b/>
          <w:sz w:val="30"/>
          <w:szCs w:val="30"/>
        </w:rPr>
        <w:t>、</w:t>
      </w:r>
      <w:r>
        <w:rPr>
          <w:rFonts w:ascii="仿宋_GB2312" w:eastAsia="仿宋_GB2312" w:hint="eastAsia"/>
          <w:b/>
          <w:sz w:val="30"/>
          <w:szCs w:val="30"/>
        </w:rPr>
        <w:t>自荐理由</w:t>
      </w:r>
    </w:p>
    <w:p w:rsidR="00E67348" w:rsidRDefault="00746B0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概括性说明项目在模式创新性、治理效果、经济合理、管理规范等方面的突出特点和优势。</w:t>
      </w:r>
      <w:r w:rsidR="00C76D36">
        <w:rPr>
          <w:rFonts w:ascii="仿宋_GB2312" w:eastAsia="仿宋_GB2312"/>
          <w:sz w:val="30"/>
          <w:szCs w:val="30"/>
        </w:rPr>
        <w:t>4</w:t>
      </w:r>
      <w:r w:rsidR="00C76D36">
        <w:rPr>
          <w:rFonts w:ascii="仿宋_GB2312" w:eastAsia="仿宋_GB2312" w:hint="eastAsia"/>
          <w:sz w:val="30"/>
          <w:szCs w:val="30"/>
        </w:rPr>
        <w:t>00字以内。</w:t>
      </w:r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四、经营/管理/服务模式创新</w:t>
      </w:r>
    </w:p>
    <w:p w:rsidR="00E67348" w:rsidRDefault="00746B0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请用图解和文字结合的方式，详细介绍项目所采用的经营管理理念、服务模式、运行流程及所具有的特点和创新性等，应包括义务责任、利益分配机制合理性（评价指标3-4）。</w:t>
      </w:r>
      <w:r w:rsidR="00C76D36">
        <w:rPr>
          <w:rFonts w:ascii="仿宋_GB2312" w:eastAsia="仿宋_GB2312" w:hint="eastAsia"/>
          <w:sz w:val="30"/>
          <w:szCs w:val="30"/>
        </w:rPr>
        <w:t>不少于</w:t>
      </w:r>
      <w:r w:rsidR="00C76D36">
        <w:rPr>
          <w:rFonts w:ascii="仿宋_GB2312" w:eastAsia="仿宋_GB2312"/>
          <w:sz w:val="30"/>
          <w:szCs w:val="30"/>
        </w:rPr>
        <w:t>700</w:t>
      </w:r>
      <w:r w:rsidR="00C76D36">
        <w:rPr>
          <w:rFonts w:ascii="仿宋_GB2312" w:eastAsia="仿宋_GB2312" w:hint="eastAsia"/>
          <w:sz w:val="30"/>
          <w:szCs w:val="30"/>
        </w:rPr>
        <w:t>字。</w:t>
      </w:r>
    </w:p>
    <w:p w:rsidR="00E67348" w:rsidRDefault="00746B02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五、治理效果</w:t>
      </w:r>
    </w:p>
    <w:p w:rsidR="00E67348" w:rsidRDefault="00746B02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请用图解和文字结合的方式，详细介绍项目所采用技术及其工艺流程，应包括工艺选择、过程控制、常规污染物减排效果、</w:t>
      </w:r>
      <w:r>
        <w:rPr>
          <w:rFonts w:ascii="仿宋_GB2312" w:eastAsia="仿宋_GB2312" w:hint="eastAsia"/>
          <w:sz w:val="30"/>
          <w:szCs w:val="30"/>
        </w:rPr>
        <w:lastRenderedPageBreak/>
        <w:t>特征污染物减排效果（评价指标5</w:t>
      </w:r>
      <w:r>
        <w:rPr>
          <w:rFonts w:ascii="仿宋_GB2312" w:eastAsia="仿宋_GB2312"/>
          <w:sz w:val="30"/>
          <w:szCs w:val="30"/>
        </w:rPr>
        <w:t>-8</w:t>
      </w:r>
      <w:r>
        <w:rPr>
          <w:rFonts w:ascii="仿宋_GB2312" w:eastAsia="仿宋_GB2312" w:hint="eastAsia"/>
          <w:sz w:val="30"/>
          <w:szCs w:val="30"/>
        </w:rPr>
        <w:t>）。</w:t>
      </w:r>
      <w:r w:rsidR="00C76D36">
        <w:rPr>
          <w:rFonts w:ascii="仿宋_GB2312" w:eastAsia="仿宋_GB2312" w:hint="eastAsia"/>
          <w:sz w:val="30"/>
          <w:szCs w:val="30"/>
        </w:rPr>
        <w:t>不少于700字。</w:t>
      </w:r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六、经济合理性</w:t>
      </w:r>
    </w:p>
    <w:p w:rsidR="00E67348" w:rsidRDefault="00746B0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项目的投资基本构成和总投资费用，介绍主要原料年消耗量和能耗，计算项目年运行费用和单位处理能力的运行费用，详细说明物料、能源回收再利用情况，应包括建设运行成本合理性、资源能源节约性（评价指标9</w:t>
      </w:r>
      <w:r>
        <w:rPr>
          <w:rFonts w:ascii="仿宋_GB2312" w:eastAsia="仿宋_GB2312"/>
          <w:sz w:val="30"/>
          <w:szCs w:val="30"/>
        </w:rPr>
        <w:t>-10</w:t>
      </w:r>
      <w:r>
        <w:rPr>
          <w:rFonts w:ascii="仿宋_GB2312" w:eastAsia="仿宋_GB2312" w:hint="eastAsia"/>
          <w:sz w:val="30"/>
          <w:szCs w:val="30"/>
        </w:rPr>
        <w:t>）。</w:t>
      </w:r>
      <w:r w:rsidR="00C76D36">
        <w:rPr>
          <w:rFonts w:ascii="仿宋_GB2312" w:eastAsia="仿宋_GB2312" w:hint="eastAsia"/>
          <w:sz w:val="30"/>
          <w:szCs w:val="30"/>
        </w:rPr>
        <w:t>不少于</w:t>
      </w:r>
      <w:r w:rsidR="00C76D36">
        <w:rPr>
          <w:rFonts w:ascii="仿宋_GB2312" w:eastAsia="仿宋_GB2312"/>
          <w:sz w:val="30"/>
          <w:szCs w:val="30"/>
        </w:rPr>
        <w:t>7</w:t>
      </w:r>
      <w:r w:rsidR="00C76D36">
        <w:rPr>
          <w:rFonts w:ascii="仿宋_GB2312" w:eastAsia="仿宋_GB2312" w:hint="eastAsia"/>
          <w:sz w:val="30"/>
          <w:szCs w:val="30"/>
        </w:rPr>
        <w:t>00字。</w:t>
      </w:r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七、管理规范</w:t>
      </w:r>
    </w:p>
    <w:p w:rsidR="00E67348" w:rsidRDefault="00746B0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介绍项目方案设计、制度建立、监测管理、台账记录等方面的情况，说明项目管理规范性，应包括总体治理方案、管理规章制度、监测能力、台账管理（评价指标1</w:t>
      </w:r>
      <w:r>
        <w:rPr>
          <w:rFonts w:ascii="仿宋_GB2312" w:eastAsia="仿宋_GB2312"/>
          <w:sz w:val="30"/>
          <w:szCs w:val="30"/>
        </w:rPr>
        <w:t>1-14</w:t>
      </w:r>
      <w:r>
        <w:rPr>
          <w:rFonts w:ascii="仿宋_GB2312" w:eastAsia="仿宋_GB2312" w:hint="eastAsia"/>
          <w:sz w:val="30"/>
          <w:szCs w:val="30"/>
        </w:rPr>
        <w:t>）。</w:t>
      </w:r>
      <w:r w:rsidR="00C76D36">
        <w:rPr>
          <w:rFonts w:ascii="仿宋_GB2312" w:eastAsia="仿宋_GB2312" w:hint="eastAsia"/>
          <w:sz w:val="30"/>
          <w:szCs w:val="30"/>
        </w:rPr>
        <w:t>不少于</w:t>
      </w:r>
      <w:r w:rsidR="00C76D36">
        <w:rPr>
          <w:rFonts w:ascii="仿宋_GB2312" w:eastAsia="仿宋_GB2312"/>
          <w:sz w:val="30"/>
          <w:szCs w:val="30"/>
        </w:rPr>
        <w:t>2</w:t>
      </w:r>
      <w:r w:rsidR="00C76D36">
        <w:rPr>
          <w:rFonts w:ascii="仿宋_GB2312" w:eastAsia="仿宋_GB2312" w:hint="eastAsia"/>
          <w:sz w:val="30"/>
          <w:szCs w:val="30"/>
        </w:rPr>
        <w:t>00字。</w:t>
      </w:r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八、客户意见</w:t>
      </w:r>
    </w:p>
    <w:p w:rsidR="00E67348" w:rsidRDefault="00746B0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由用户提出评价，说明该项目的特点、效果、建议和意见等，并列明客户联系人、联系方式。</w:t>
      </w:r>
      <w:r w:rsidR="00C76D36">
        <w:rPr>
          <w:rFonts w:ascii="仿宋_GB2312" w:eastAsia="仿宋_GB2312" w:hint="eastAsia"/>
          <w:sz w:val="30"/>
          <w:szCs w:val="30"/>
        </w:rPr>
        <w:t>不少于200字。</w:t>
      </w:r>
    </w:p>
    <w:p w:rsidR="00E67348" w:rsidRDefault="00746B02">
      <w:pPr>
        <w:spacing w:beforeLines="50" w:before="156" w:afterLines="50" w:after="156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九、相关证明文件</w:t>
      </w:r>
    </w:p>
    <w:p w:rsidR="00E67348" w:rsidRDefault="00746B02">
      <w:pPr>
        <w:spacing w:beforeLines="50" w:before="156" w:afterLines="50" w:after="156"/>
        <w:ind w:firstLineChars="200"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提供相关合同材料（同时提供封面及盖章页扫描件）、项目审批/核准或备案文件、验收/检测报告、客户意见等文件的原件扫描件或复印件的电子件和纸质件，并结合实际提供与典型案例有关的照片、新闻报道等材料。</w:t>
      </w:r>
      <w:r>
        <w:rPr>
          <w:rFonts w:ascii="仿宋_GB2312" w:eastAsia="仿宋_GB2312" w:hint="eastAsia"/>
          <w:sz w:val="28"/>
          <w:szCs w:val="28"/>
        </w:rPr>
        <w:t>案例申报材料应内容真实、层次清晰、数据准确、观点明确。</w:t>
      </w:r>
    </w:p>
    <w:p w:rsidR="00E67348" w:rsidRDefault="00E67348">
      <w:pPr>
        <w:tabs>
          <w:tab w:val="left" w:pos="3780"/>
        </w:tabs>
        <w:spacing w:before="100" w:beforeAutospacing="1" w:after="100" w:afterAutospacing="1" w:line="560" w:lineRule="exact"/>
        <w:ind w:right="320"/>
        <w:jc w:val="left"/>
        <w:rPr>
          <w:rFonts w:ascii="仿宋_GB2312" w:eastAsia="仿宋_GB2312"/>
          <w:sz w:val="28"/>
          <w:szCs w:val="28"/>
        </w:rPr>
      </w:pPr>
    </w:p>
    <w:p w:rsidR="00E67348" w:rsidRDefault="00746B02">
      <w:pPr>
        <w:spacing w:before="100" w:beforeAutospacing="1" w:after="100" w:afterAutospacing="1"/>
        <w:jc w:val="center"/>
        <w:rPr>
          <w:rFonts w:ascii="方正小标宋简体" w:eastAsia="方正小标宋简体"/>
          <w:b/>
          <w:sz w:val="30"/>
          <w:szCs w:val="30"/>
        </w:rPr>
      </w:pPr>
      <w:bookmarkStart w:id="1" w:name="_Hlk523831493"/>
      <w:bookmarkStart w:id="2" w:name="_Toc271879852"/>
      <w:r>
        <w:rPr>
          <w:rFonts w:ascii="方正小标宋简体" w:eastAsia="方正小标宋简体" w:hint="eastAsia"/>
          <w:b/>
          <w:sz w:val="30"/>
          <w:szCs w:val="30"/>
        </w:rPr>
        <w:lastRenderedPageBreak/>
        <w:t>典型案例评价指标</w:t>
      </w:r>
      <w:bookmarkEnd w:id="1"/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399"/>
        <w:gridCol w:w="1417"/>
        <w:gridCol w:w="1701"/>
        <w:gridCol w:w="3623"/>
      </w:tblGrid>
      <w:tr w:rsidR="00E67348">
        <w:trPr>
          <w:trHeight w:hRule="exact" w:val="430"/>
          <w:jc w:val="center"/>
        </w:trPr>
        <w:tc>
          <w:tcPr>
            <w:tcW w:w="714" w:type="dxa"/>
            <w:vAlign w:val="center"/>
          </w:tcPr>
          <w:bookmarkEnd w:id="2"/>
          <w:p w:rsidR="00E67348" w:rsidRDefault="00746B0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 w:rsidR="00E67348" w:rsidRDefault="00746B02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/>
                <w:b/>
                <w:sz w:val="24"/>
                <w:szCs w:val="24"/>
              </w:rPr>
              <w:t>考核项</w:t>
            </w:r>
          </w:p>
        </w:tc>
        <w:tc>
          <w:tcPr>
            <w:tcW w:w="1417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判定标准</w:t>
            </w:r>
          </w:p>
        </w:tc>
      </w:tr>
      <w:tr w:rsidR="00E67348">
        <w:trPr>
          <w:trHeight w:hRule="exact" w:val="720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67348" w:rsidRDefault="00746B02">
            <w:pPr>
              <w:rPr>
                <w:rFonts w:cs="宋体"/>
                <w:b/>
                <w:sz w:val="28"/>
                <w:szCs w:val="18"/>
              </w:rPr>
            </w:pPr>
            <w:r>
              <w:rPr>
                <w:rFonts w:cs="宋体"/>
                <w:b/>
                <w:sz w:val="24"/>
                <w:szCs w:val="18"/>
              </w:rPr>
              <w:t>基本要求</w:t>
            </w:r>
          </w:p>
          <w:p w:rsidR="00E67348" w:rsidRDefault="00E67348">
            <w:pPr>
              <w:rPr>
                <w:rFonts w:cs="宋体"/>
                <w:sz w:val="2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污染物稳定达标排放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约束性指标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常规污染物和特征污染物均能实现稳定达标排放，否则不能参与评选。</w:t>
            </w:r>
          </w:p>
        </w:tc>
      </w:tr>
      <w:tr w:rsidR="00E67348">
        <w:trPr>
          <w:trHeight w:hRule="exact" w:val="700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  <w:vAlign w:val="center"/>
          </w:tcPr>
          <w:p w:rsidR="00E67348" w:rsidRDefault="00E67348">
            <w:pPr>
              <w:rPr>
                <w:rFonts w:cs="宋体"/>
                <w:b/>
                <w:sz w:val="2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遵纪守法且无重大事故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约束性指标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案例应无重大事故、群体事件和违法记录，否则不能参与评选。</w:t>
            </w:r>
          </w:p>
        </w:tc>
      </w:tr>
      <w:tr w:rsidR="00E67348">
        <w:trPr>
          <w:trHeight w:hRule="exact" w:val="980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67348" w:rsidRDefault="00746B02">
            <w:pPr>
              <w:rPr>
                <w:rFonts w:cs="宋体"/>
                <w:b/>
                <w:sz w:val="24"/>
                <w:szCs w:val="18"/>
              </w:rPr>
            </w:pPr>
            <w:r>
              <w:rPr>
                <w:rFonts w:cs="宋体" w:hint="eastAsia"/>
                <w:b/>
                <w:sz w:val="24"/>
                <w:szCs w:val="18"/>
              </w:rPr>
              <w:t>模式创新</w:t>
            </w: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义务责任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案例是否通过合同或协议明确地方政府、园区管委会、排污企业和第三方治理机构的责任和义务，责任划分是否清晰、合理。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</w:tr>
      <w:tr w:rsidR="00E67348">
        <w:trPr>
          <w:trHeight w:hRule="exact" w:val="724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  <w:vAlign w:val="center"/>
          </w:tcPr>
          <w:p w:rsidR="00E67348" w:rsidRDefault="00E67348">
            <w:pPr>
              <w:rPr>
                <w:rFonts w:cs="宋体"/>
                <w:b/>
                <w:sz w:val="2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利益分配机制合理性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第三方付费机制是否合理，是否有利于治理专业化和市场化水平提升。</w:t>
            </w:r>
          </w:p>
        </w:tc>
      </w:tr>
      <w:tr w:rsidR="00E67348">
        <w:trPr>
          <w:trHeight w:hRule="exact" w:val="1375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67348" w:rsidRDefault="00746B02">
            <w:pPr>
              <w:rPr>
                <w:rFonts w:cs="宋体"/>
                <w:b/>
                <w:sz w:val="24"/>
                <w:szCs w:val="18"/>
              </w:rPr>
            </w:pPr>
            <w:r>
              <w:rPr>
                <w:rFonts w:cs="宋体" w:hint="eastAsia"/>
                <w:b/>
                <w:sz w:val="24"/>
                <w:szCs w:val="18"/>
              </w:rPr>
              <w:t>治理效果</w:t>
            </w: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工艺选择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污染治理类案例：流程科学且完整，单元组合优化程度高，工艺设计合理；</w:t>
            </w:r>
          </w:p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综合服务类案例：统筹考虑设计方案、设备设置、工作流程的适用性。</w:t>
            </w:r>
          </w:p>
        </w:tc>
      </w:tr>
      <w:tr w:rsidR="00E67348">
        <w:trPr>
          <w:trHeight w:hRule="exact" w:val="1987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E67348" w:rsidRDefault="00E67348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过程控制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污染治理类案例：过程控制设计合理，原料和能源使用优化程度高，过程减排效果明显；</w:t>
            </w:r>
          </w:p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综合服务类案例：辅助和参与过程控制，有助于提高原料和能源使用效率，有利于促进过程减排。</w:t>
            </w:r>
          </w:p>
        </w:tc>
      </w:tr>
      <w:tr w:rsidR="00E67348">
        <w:trPr>
          <w:trHeight w:hRule="exact" w:val="1990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E67348" w:rsidRDefault="00E67348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常规污染物减排效果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污染治理类案例：对常规污染物实现超过标准的稳定减排，且与同类技术相比较去除总量更高；</w:t>
            </w:r>
          </w:p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综合服务类案例：是否促进对常规污染物实现超过标准的稳定减排，综合考虑服务企业数量、常规污染物减排种类和减排量。</w:t>
            </w:r>
          </w:p>
        </w:tc>
      </w:tr>
      <w:tr w:rsidR="00E67348">
        <w:trPr>
          <w:trHeight w:hRule="exact" w:val="1984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E67348" w:rsidRDefault="00E67348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特征污染物减排效果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污染治理类案例：对特征污染物实现超过标准的稳定减排，且与同类技术相比较去除率更高去除效果更好；</w:t>
            </w:r>
          </w:p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综合服务类案例：是否促进对特征污染物实现超过标准的稳定减排，综合考虑服务企业数量、特征污染物减排种类和减排量。</w:t>
            </w:r>
          </w:p>
        </w:tc>
      </w:tr>
      <w:tr w:rsidR="00E67348">
        <w:trPr>
          <w:trHeight w:hRule="exact" w:val="704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67348" w:rsidRDefault="00746B02">
            <w:pPr>
              <w:rPr>
                <w:rFonts w:cs="宋体"/>
                <w:b/>
                <w:sz w:val="24"/>
                <w:szCs w:val="18"/>
              </w:rPr>
            </w:pPr>
            <w:r>
              <w:rPr>
                <w:rFonts w:cs="宋体" w:hint="eastAsia"/>
                <w:b/>
                <w:sz w:val="24"/>
                <w:szCs w:val="18"/>
              </w:rPr>
              <w:t>经济合理</w:t>
            </w: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建设运行成本经济合理性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在可比基础上，单位综合造价和运行成本相对较低，技术应用具备经济合理性。</w:t>
            </w:r>
          </w:p>
        </w:tc>
      </w:tr>
      <w:tr w:rsidR="00E67348">
        <w:trPr>
          <w:trHeight w:hRule="exact" w:val="2274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E67348" w:rsidRDefault="00E67348">
            <w:pPr>
              <w:rPr>
                <w:rFonts w:cs="宋体"/>
                <w:b/>
                <w:sz w:val="2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资源能源节约性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污染治理类案例：应用技术建设占地省、设施运行消耗物料少、耗能低，污染治理过程中可实现资源与能源的回收或再利用；</w:t>
            </w:r>
          </w:p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综合服务类案例：是否有利于减少物料、降低耗能、节约物流成本、促进资源与能源的回收或再利用；</w:t>
            </w:r>
          </w:p>
        </w:tc>
      </w:tr>
      <w:tr w:rsidR="00E67348">
        <w:trPr>
          <w:trHeight w:hRule="exact" w:val="714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E67348" w:rsidRDefault="00746B02">
            <w:pPr>
              <w:rPr>
                <w:rFonts w:cs="宋体"/>
                <w:b/>
                <w:sz w:val="24"/>
                <w:szCs w:val="18"/>
              </w:rPr>
            </w:pPr>
            <w:r>
              <w:rPr>
                <w:rFonts w:cs="宋体" w:hint="eastAsia"/>
                <w:b/>
                <w:sz w:val="24"/>
                <w:szCs w:val="18"/>
              </w:rPr>
              <w:t>管理规范</w:t>
            </w: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总体治理方案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10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是否有总体治理方案，是否开展污染问题诊断，污染底数摸查等工作。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</w:tr>
      <w:tr w:rsidR="00E67348">
        <w:trPr>
          <w:trHeight w:hRule="exact" w:val="905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E67348" w:rsidRDefault="00E67348">
            <w:pPr>
              <w:rPr>
                <w:rFonts w:cs="宋体"/>
                <w:b/>
                <w:sz w:val="2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管理规章制度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案例中建设单位或运营单位的管理要求明确，管理程规完善，责任落实到位，有应急预案。</w:t>
            </w:r>
          </w:p>
        </w:tc>
      </w:tr>
      <w:tr w:rsidR="00E67348">
        <w:trPr>
          <w:trHeight w:hRule="exact" w:val="652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E67348" w:rsidRDefault="00E67348">
            <w:pPr>
              <w:rPr>
                <w:rFonts w:cs="宋体"/>
                <w:b/>
                <w:sz w:val="2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监测能力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是否具备监测能力，监测设备运行情况和记录。</w:t>
            </w:r>
          </w:p>
        </w:tc>
      </w:tr>
      <w:tr w:rsidR="00E67348">
        <w:trPr>
          <w:trHeight w:hRule="exact" w:val="436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pStyle w:val="Style3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E67348" w:rsidRDefault="00E67348">
            <w:pPr>
              <w:rPr>
                <w:rFonts w:cs="宋体"/>
                <w:b/>
                <w:sz w:val="2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台账管理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5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资料归档，管理台账等资料保存完整。</w:t>
            </w:r>
          </w:p>
        </w:tc>
      </w:tr>
      <w:tr w:rsidR="00E67348">
        <w:trPr>
          <w:trHeight w:val="457"/>
          <w:jc w:val="center"/>
        </w:trPr>
        <w:tc>
          <w:tcPr>
            <w:tcW w:w="714" w:type="dxa"/>
            <w:vAlign w:val="center"/>
          </w:tcPr>
          <w:p w:rsidR="00E67348" w:rsidRDefault="00E67348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399" w:type="dxa"/>
          </w:tcPr>
          <w:p w:rsidR="00E67348" w:rsidRDefault="00E67348">
            <w:pPr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7348" w:rsidRDefault="00746B02">
            <w:pPr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满分</w:t>
            </w:r>
          </w:p>
        </w:tc>
        <w:tc>
          <w:tcPr>
            <w:tcW w:w="1701" w:type="dxa"/>
            <w:vAlign w:val="center"/>
          </w:tcPr>
          <w:p w:rsidR="00E67348" w:rsidRDefault="00746B02">
            <w:pPr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100</w:t>
            </w:r>
          </w:p>
        </w:tc>
        <w:tc>
          <w:tcPr>
            <w:tcW w:w="3623" w:type="dxa"/>
            <w:vAlign w:val="center"/>
          </w:tcPr>
          <w:p w:rsidR="00E67348" w:rsidRDefault="00746B02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按评审专家的打分累加，并取平均值。</w:t>
            </w:r>
          </w:p>
        </w:tc>
      </w:tr>
    </w:tbl>
    <w:p w:rsidR="00E67348" w:rsidRDefault="00E67348">
      <w:pPr>
        <w:spacing w:before="100" w:beforeAutospacing="1" w:after="100" w:afterAutospacing="1" w:line="360" w:lineRule="auto"/>
        <w:rPr>
          <w:rFonts w:eastAsia="仿宋_GB2312"/>
          <w:sz w:val="30"/>
          <w:szCs w:val="30"/>
        </w:rPr>
      </w:pP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sectPr w:rsidR="00E6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5D" w:rsidRDefault="000D0E5D" w:rsidP="005A0BC2">
      <w:r>
        <w:separator/>
      </w:r>
    </w:p>
  </w:endnote>
  <w:endnote w:type="continuationSeparator" w:id="0">
    <w:p w:rsidR="000D0E5D" w:rsidRDefault="000D0E5D" w:rsidP="005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5D" w:rsidRDefault="000D0E5D" w:rsidP="005A0BC2">
      <w:r>
        <w:separator/>
      </w:r>
    </w:p>
  </w:footnote>
  <w:footnote w:type="continuationSeparator" w:id="0">
    <w:p w:rsidR="000D0E5D" w:rsidRDefault="000D0E5D" w:rsidP="005A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993"/>
    <w:multiLevelType w:val="multilevel"/>
    <w:tmpl w:val="331F79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438144"/>
    <w:multiLevelType w:val="singleLevel"/>
    <w:tmpl w:val="5E4381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E44FF19"/>
    <w:multiLevelType w:val="singleLevel"/>
    <w:tmpl w:val="5E44FF19"/>
    <w:lvl w:ilvl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52"/>
    <w:rsid w:val="9BDFE759"/>
    <w:rsid w:val="BA77D803"/>
    <w:rsid w:val="CFD5A808"/>
    <w:rsid w:val="D7D76BAE"/>
    <w:rsid w:val="F5FB0501"/>
    <w:rsid w:val="00091331"/>
    <w:rsid w:val="000C6CA8"/>
    <w:rsid w:val="000D0E5D"/>
    <w:rsid w:val="000D2B1B"/>
    <w:rsid w:val="000D3CB0"/>
    <w:rsid w:val="000D40C0"/>
    <w:rsid w:val="001229AD"/>
    <w:rsid w:val="0019152D"/>
    <w:rsid w:val="00235091"/>
    <w:rsid w:val="00297B66"/>
    <w:rsid w:val="00423852"/>
    <w:rsid w:val="004330C3"/>
    <w:rsid w:val="00474E0F"/>
    <w:rsid w:val="004A0627"/>
    <w:rsid w:val="004C42A1"/>
    <w:rsid w:val="0050558E"/>
    <w:rsid w:val="00585DDB"/>
    <w:rsid w:val="00592BCA"/>
    <w:rsid w:val="00595407"/>
    <w:rsid w:val="005A0BC2"/>
    <w:rsid w:val="005B5B98"/>
    <w:rsid w:val="006452B6"/>
    <w:rsid w:val="00684275"/>
    <w:rsid w:val="00746B02"/>
    <w:rsid w:val="007479FE"/>
    <w:rsid w:val="007548FA"/>
    <w:rsid w:val="0077585B"/>
    <w:rsid w:val="007773BB"/>
    <w:rsid w:val="007829A9"/>
    <w:rsid w:val="007A391C"/>
    <w:rsid w:val="00835E70"/>
    <w:rsid w:val="00844FB0"/>
    <w:rsid w:val="008B4EBB"/>
    <w:rsid w:val="00906399"/>
    <w:rsid w:val="0093256D"/>
    <w:rsid w:val="0097538D"/>
    <w:rsid w:val="00A05B3D"/>
    <w:rsid w:val="00A91B5B"/>
    <w:rsid w:val="00A92CA7"/>
    <w:rsid w:val="00AB3F99"/>
    <w:rsid w:val="00AC5FF0"/>
    <w:rsid w:val="00AD1F9A"/>
    <w:rsid w:val="00B554A3"/>
    <w:rsid w:val="00B72FCC"/>
    <w:rsid w:val="00BB07CB"/>
    <w:rsid w:val="00C71F1B"/>
    <w:rsid w:val="00C76D36"/>
    <w:rsid w:val="00CA1029"/>
    <w:rsid w:val="00DF7EE8"/>
    <w:rsid w:val="00E67348"/>
    <w:rsid w:val="00F41051"/>
    <w:rsid w:val="00F4594F"/>
    <w:rsid w:val="27FDF08A"/>
    <w:rsid w:val="3A57BE20"/>
    <w:rsid w:val="3DF724F4"/>
    <w:rsid w:val="6CFE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88B1F6"/>
  <w15:docId w15:val="{7BC40FAD-A8EB-4A7B-821D-3C4F133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unhideWhenUsed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A1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117A6-70BE-49DF-AF39-E0E92955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qin</dc:creator>
  <cp:lastModifiedBy>Windows 用户</cp:lastModifiedBy>
  <cp:revision>4</cp:revision>
  <cp:lastPrinted>2020-04-02T01:34:00Z</cp:lastPrinted>
  <dcterms:created xsi:type="dcterms:W3CDTF">2020-04-02T04:18:00Z</dcterms:created>
  <dcterms:modified xsi:type="dcterms:W3CDTF">2020-04-02T06:48:00Z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